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FB900" w14:textId="77777777" w:rsidR="007A595B" w:rsidRPr="007A595B" w:rsidRDefault="007A595B">
      <w:pPr>
        <w:pStyle w:val="p1"/>
        <w:rPr>
          <w:b/>
          <w:bCs/>
        </w:rPr>
      </w:pPr>
      <w:r w:rsidRPr="007A595B">
        <w:rPr>
          <w:rStyle w:val="s1"/>
          <w:b/>
          <w:bCs/>
        </w:rPr>
        <w:t>Plantilla para tratamiento al alta para pacientes con ETEV de MMII o MMSS sin</w:t>
      </w:r>
    </w:p>
    <w:p w14:paraId="28C8F7FD" w14:textId="77777777" w:rsidR="007A595B" w:rsidRDefault="007A595B">
      <w:pPr>
        <w:pStyle w:val="p1"/>
        <w:rPr>
          <w:rStyle w:val="s1"/>
          <w:b/>
          <w:bCs/>
        </w:rPr>
      </w:pPr>
      <w:r w:rsidRPr="007A595B">
        <w:rPr>
          <w:rStyle w:val="s1"/>
          <w:b/>
          <w:bCs/>
        </w:rPr>
        <w:t>factores de riesgo ni criterios de ingreso hospitalario</w:t>
      </w:r>
    </w:p>
    <w:p w14:paraId="3EAF2DAC" w14:textId="77777777" w:rsidR="007A595B" w:rsidRPr="007A595B" w:rsidRDefault="007A595B">
      <w:pPr>
        <w:pStyle w:val="p1"/>
        <w:rPr>
          <w:b/>
          <w:bCs/>
        </w:rPr>
      </w:pPr>
    </w:p>
    <w:p w14:paraId="40DE6739" w14:textId="77777777" w:rsidR="007A595B" w:rsidRDefault="007A595B">
      <w:pPr>
        <w:pStyle w:val="p1"/>
      </w:pPr>
      <w:r>
        <w:rPr>
          <w:rStyle w:val="s1"/>
        </w:rPr>
        <w:t>•</w:t>
      </w:r>
      <w:r>
        <w:rPr>
          <w:rStyle w:val="s2"/>
        </w:rPr>
        <w:t xml:space="preserve"> </w:t>
      </w:r>
      <w:r>
        <w:rPr>
          <w:rStyle w:val="s1"/>
        </w:rPr>
        <w:t>REPOSO RELATIVO, NO ABSOLUTO, durante el día, evitando esfuerzos los siguientes 5</w:t>
      </w:r>
    </w:p>
    <w:p w14:paraId="2F2AC608" w14:textId="77777777" w:rsidR="007A595B" w:rsidRDefault="007A595B">
      <w:pPr>
        <w:pStyle w:val="p1"/>
      </w:pPr>
      <w:r>
        <w:rPr>
          <w:rStyle w:val="s1"/>
        </w:rPr>
        <w:t>a 10 días tras alta. procurar mantener movilización independiente continuada.</w:t>
      </w:r>
    </w:p>
    <w:p w14:paraId="16FBEFF5" w14:textId="77777777" w:rsidR="007A595B" w:rsidRDefault="007A595B">
      <w:pPr>
        <w:pStyle w:val="p1"/>
      </w:pPr>
      <w:r>
        <w:rPr>
          <w:rStyle w:val="s1"/>
        </w:rPr>
        <w:t>Mientras permanezca en reposo absoluto durante las horas de descanso, mantener</w:t>
      </w:r>
    </w:p>
    <w:p w14:paraId="5A3155AE" w14:textId="77777777" w:rsidR="007A595B" w:rsidRDefault="007A595B">
      <w:pPr>
        <w:pStyle w:val="p1"/>
        <w:rPr>
          <w:rStyle w:val="s1"/>
        </w:rPr>
      </w:pPr>
      <w:r>
        <w:rPr>
          <w:rStyle w:val="s1"/>
        </w:rPr>
        <w:t>MMII a la altura de las caderas para evitar edemas por declive.</w:t>
      </w:r>
    </w:p>
    <w:p w14:paraId="68C2F669" w14:textId="77777777" w:rsidR="009E4CD3" w:rsidRDefault="009E4CD3">
      <w:pPr>
        <w:pStyle w:val="p1"/>
      </w:pPr>
    </w:p>
    <w:p w14:paraId="31B0DF96" w14:textId="77777777" w:rsidR="007A595B" w:rsidRDefault="007A595B">
      <w:pPr>
        <w:pStyle w:val="p1"/>
      </w:pPr>
      <w:r>
        <w:rPr>
          <w:rStyle w:val="s1"/>
        </w:rPr>
        <w:t>•</w:t>
      </w:r>
      <w:r>
        <w:rPr>
          <w:rStyle w:val="s2"/>
        </w:rPr>
        <w:t xml:space="preserve"> </w:t>
      </w:r>
      <w:r>
        <w:rPr>
          <w:rStyle w:val="s1"/>
        </w:rPr>
        <w:t>Si en MMII presenta edema importante o la trombosis diagnosticada es extensa, se</w:t>
      </w:r>
    </w:p>
    <w:p w14:paraId="697E3C21" w14:textId="77777777" w:rsidR="007A595B" w:rsidRDefault="007A595B">
      <w:pPr>
        <w:pStyle w:val="p1"/>
      </w:pPr>
      <w:r>
        <w:rPr>
          <w:rStyle w:val="s1"/>
        </w:rPr>
        <w:t>recomienda el uso de medias de compresión completas, al menos hasta raíz de</w:t>
      </w:r>
    </w:p>
    <w:p w14:paraId="2AD5B87F" w14:textId="77777777" w:rsidR="007A595B" w:rsidRDefault="007A595B">
      <w:pPr>
        <w:pStyle w:val="p1"/>
        <w:rPr>
          <w:rStyle w:val="s1"/>
        </w:rPr>
      </w:pPr>
      <w:r>
        <w:rPr>
          <w:rStyle w:val="s1"/>
        </w:rPr>
        <w:t>miembro o hasta cintura</w:t>
      </w:r>
    </w:p>
    <w:p w14:paraId="722C6520" w14:textId="77777777" w:rsidR="009E4CD3" w:rsidRDefault="009E4CD3">
      <w:pPr>
        <w:pStyle w:val="p1"/>
      </w:pPr>
    </w:p>
    <w:p w14:paraId="6413B94D" w14:textId="77777777" w:rsidR="007A595B" w:rsidRDefault="007A595B">
      <w:pPr>
        <w:pStyle w:val="p1"/>
        <w:rPr>
          <w:rStyle w:val="s1"/>
          <w:b/>
          <w:bCs/>
        </w:rPr>
      </w:pPr>
      <w:r w:rsidRPr="009E4CD3">
        <w:rPr>
          <w:rStyle w:val="s1"/>
          <w:b/>
          <w:bCs/>
        </w:rPr>
        <w:t>•</w:t>
      </w:r>
      <w:r w:rsidRPr="009E4CD3">
        <w:rPr>
          <w:rStyle w:val="s2"/>
          <w:b/>
          <w:bCs/>
        </w:rPr>
        <w:t xml:space="preserve"> </w:t>
      </w:r>
      <w:r w:rsidRPr="009E4CD3">
        <w:rPr>
          <w:rStyle w:val="s1"/>
          <w:b/>
          <w:bCs/>
        </w:rPr>
        <w:t>HIBOR, 1 INYECCIÓN SUBCUTÁNEA AL DÍA.</w:t>
      </w:r>
    </w:p>
    <w:p w14:paraId="56BF55F9" w14:textId="77777777" w:rsidR="009E4CD3" w:rsidRPr="009E4CD3" w:rsidRDefault="009E4CD3">
      <w:pPr>
        <w:pStyle w:val="p1"/>
        <w:rPr>
          <w:b/>
          <w:bCs/>
        </w:rPr>
      </w:pPr>
    </w:p>
    <w:p w14:paraId="63B89EA7" w14:textId="77777777" w:rsidR="007A595B" w:rsidRDefault="007A595B">
      <w:pPr>
        <w:pStyle w:val="p1"/>
      </w:pPr>
      <w:r>
        <w:rPr>
          <w:rStyle w:val="s1"/>
        </w:rPr>
        <w:t>En función del peso se indicará:</w:t>
      </w:r>
    </w:p>
    <w:p w14:paraId="3CAB6B26" w14:textId="77777777" w:rsidR="007A595B" w:rsidRDefault="007A595B">
      <w:pPr>
        <w:pStyle w:val="p1"/>
      </w:pPr>
      <w:r>
        <w:rPr>
          <w:rStyle w:val="s1"/>
        </w:rPr>
        <w:t>&lt;50kg: 5.000UI/día (si IR grave, con ClCr &lt;30, máximo 85UI/Kg/día)</w:t>
      </w:r>
    </w:p>
    <w:p w14:paraId="173A5BA9" w14:textId="77777777" w:rsidR="007A595B" w:rsidRDefault="007A595B">
      <w:pPr>
        <w:pStyle w:val="p1"/>
      </w:pPr>
      <w:r>
        <w:rPr>
          <w:rStyle w:val="s1"/>
        </w:rPr>
        <w:t>50-70kg: 7.500 UI/día (si IR grave, 5000UI/día)</w:t>
      </w:r>
    </w:p>
    <w:p w14:paraId="34DB277B" w14:textId="77777777" w:rsidR="007A595B" w:rsidRDefault="007A595B">
      <w:pPr>
        <w:pStyle w:val="p1"/>
      </w:pPr>
      <w:r>
        <w:rPr>
          <w:rStyle w:val="s1"/>
        </w:rPr>
        <w:t>70-100kg: 10.000 UI/día (si IR grave, 7500 UI/día)</w:t>
      </w:r>
    </w:p>
    <w:p w14:paraId="56865F4A" w14:textId="77777777" w:rsidR="007A595B" w:rsidRDefault="007A595B">
      <w:pPr>
        <w:pStyle w:val="p1"/>
      </w:pPr>
      <w:r>
        <w:rPr>
          <w:rStyle w:val="s1"/>
        </w:rPr>
        <w:t>100-120kg: 12.5000 UI/día (si IR grave, 10000 UI/día)</w:t>
      </w:r>
    </w:p>
    <w:p w14:paraId="7C029044" w14:textId="77777777" w:rsidR="007A595B" w:rsidRDefault="007A595B">
      <w:pPr>
        <w:pStyle w:val="p1"/>
        <w:rPr>
          <w:rStyle w:val="s1"/>
        </w:rPr>
      </w:pPr>
      <w:r>
        <w:rPr>
          <w:rStyle w:val="s1"/>
        </w:rPr>
        <w:t>Si &gt;120kg ajustar a 115UI/kg/día (si IR grave, ajustar a 85UI/Kg/día)</w:t>
      </w:r>
    </w:p>
    <w:p w14:paraId="3B9BA556" w14:textId="77777777" w:rsidR="009E4CD3" w:rsidRDefault="009E4CD3">
      <w:pPr>
        <w:pStyle w:val="p1"/>
      </w:pPr>
    </w:p>
    <w:p w14:paraId="0965809C" w14:textId="77777777" w:rsidR="007A595B" w:rsidRDefault="007A595B">
      <w:pPr>
        <w:pStyle w:val="p1"/>
      </w:pPr>
      <w:r>
        <w:rPr>
          <w:rStyle w:val="s1"/>
        </w:rPr>
        <w:t>•</w:t>
      </w:r>
      <w:r>
        <w:rPr>
          <w:rStyle w:val="s2"/>
        </w:rPr>
        <w:t xml:space="preserve"> </w:t>
      </w:r>
      <w:r>
        <w:rPr>
          <w:rStyle w:val="s1"/>
        </w:rPr>
        <w:t>Analgesia alternando al menos 2 analgésicos cada 4 horas hasta control adecuado de</w:t>
      </w:r>
    </w:p>
    <w:p w14:paraId="1603968C" w14:textId="77777777" w:rsidR="007A595B" w:rsidRDefault="007A595B">
      <w:pPr>
        <w:pStyle w:val="p1"/>
      </w:pPr>
      <w:r>
        <w:rPr>
          <w:rStyle w:val="s1"/>
        </w:rPr>
        <w:t xml:space="preserve">síntomas, por ejemplo, paracetamol 1 gramo, cada 8 horas, alterno a </w:t>
      </w:r>
      <w:proofErr w:type="spellStart"/>
      <w:r>
        <w:rPr>
          <w:rStyle w:val="s1"/>
        </w:rPr>
        <w:t>dexketoprofeno</w:t>
      </w:r>
      <w:proofErr w:type="spellEnd"/>
    </w:p>
    <w:p w14:paraId="22B34357" w14:textId="77777777" w:rsidR="007A595B" w:rsidRDefault="007A595B">
      <w:pPr>
        <w:pStyle w:val="p1"/>
        <w:rPr>
          <w:rStyle w:val="s1"/>
        </w:rPr>
      </w:pPr>
      <w:r>
        <w:rPr>
          <w:rStyle w:val="s1"/>
        </w:rPr>
        <w:t xml:space="preserve">25 mg o </w:t>
      </w:r>
      <w:proofErr w:type="spellStart"/>
      <w:r>
        <w:rPr>
          <w:rStyle w:val="s1"/>
        </w:rPr>
        <w:t>metamizol</w:t>
      </w:r>
      <w:proofErr w:type="spellEnd"/>
      <w:r>
        <w:rPr>
          <w:rStyle w:val="s1"/>
        </w:rPr>
        <w:t xml:space="preserve"> 575 mg, 1 comp a las 4 horas del paracetamol</w:t>
      </w:r>
    </w:p>
    <w:p w14:paraId="37D1E95C" w14:textId="77777777" w:rsidR="00EB5C61" w:rsidRDefault="00EB5C61">
      <w:pPr>
        <w:pStyle w:val="p1"/>
      </w:pPr>
    </w:p>
    <w:p w14:paraId="522B2936" w14:textId="77777777" w:rsidR="007A595B" w:rsidRDefault="007A595B">
      <w:pPr>
        <w:pStyle w:val="p1"/>
      </w:pPr>
      <w:r>
        <w:rPr>
          <w:rStyle w:val="s1"/>
        </w:rPr>
        <w:t>•</w:t>
      </w:r>
      <w:r>
        <w:rPr>
          <w:rStyle w:val="s2"/>
        </w:rPr>
        <w:t xml:space="preserve"> </w:t>
      </w:r>
      <w:r>
        <w:rPr>
          <w:rStyle w:val="s1"/>
        </w:rPr>
        <w:t xml:space="preserve">Seguirá las recomendaciones que se le indican en la hoja de </w:t>
      </w:r>
      <w:proofErr w:type="spellStart"/>
      <w:r>
        <w:rPr>
          <w:rStyle w:val="s1"/>
        </w:rPr>
        <w:t>informacion</w:t>
      </w:r>
      <w:proofErr w:type="spellEnd"/>
      <w:r>
        <w:rPr>
          <w:rStyle w:val="s1"/>
        </w:rPr>
        <w:t xml:space="preserve"> para</w:t>
      </w:r>
    </w:p>
    <w:p w14:paraId="5CD8D6D4" w14:textId="77777777" w:rsidR="007A595B" w:rsidRDefault="007A595B">
      <w:pPr>
        <w:pStyle w:val="p1"/>
      </w:pPr>
      <w:r>
        <w:rPr>
          <w:rStyle w:val="s1"/>
        </w:rPr>
        <w:t>pacientes que se adjunta. En caso de dificultad respiratoria, dolor torácico intenso,</w:t>
      </w:r>
    </w:p>
    <w:p w14:paraId="05B67788" w14:textId="77777777" w:rsidR="007A595B" w:rsidRDefault="007A595B">
      <w:pPr>
        <w:pStyle w:val="p1"/>
      </w:pPr>
      <w:r>
        <w:rPr>
          <w:rStyle w:val="s1"/>
        </w:rPr>
        <w:t>presencia de hemorragias a nivel urológico, digestivo o respiratorio o presencia de</w:t>
      </w:r>
    </w:p>
    <w:p w14:paraId="44146131" w14:textId="77777777" w:rsidR="007A595B" w:rsidRDefault="007A595B">
      <w:pPr>
        <w:pStyle w:val="p1"/>
        <w:rPr>
          <w:rStyle w:val="s1"/>
        </w:rPr>
      </w:pPr>
      <w:r>
        <w:rPr>
          <w:rStyle w:val="s1"/>
        </w:rPr>
        <w:t>hematomas espontáneos, volver a consultar de nuevo</w:t>
      </w:r>
    </w:p>
    <w:p w14:paraId="75F58AFA" w14:textId="77777777" w:rsidR="001C6A7A" w:rsidRDefault="001C6A7A">
      <w:pPr>
        <w:pStyle w:val="p1"/>
      </w:pPr>
    </w:p>
    <w:p w14:paraId="5CE164E6" w14:textId="77777777" w:rsidR="007A595B" w:rsidRDefault="007A595B">
      <w:pPr>
        <w:pStyle w:val="p1"/>
      </w:pPr>
      <w:r>
        <w:rPr>
          <w:rStyle w:val="s1"/>
        </w:rPr>
        <w:t>•</w:t>
      </w:r>
      <w:r>
        <w:rPr>
          <w:rStyle w:val="s2"/>
        </w:rPr>
        <w:t xml:space="preserve"> </w:t>
      </w:r>
      <w:r>
        <w:rPr>
          <w:rStyle w:val="s1"/>
        </w:rPr>
        <w:t>Seguimiento por su MAP en AP (debe ser valorado en el plazo de 3 a 5 días), que</w:t>
      </w:r>
    </w:p>
    <w:p w14:paraId="4DE8AC10" w14:textId="77777777" w:rsidR="007A595B" w:rsidRDefault="007A595B">
      <w:pPr>
        <w:pStyle w:val="p1"/>
      </w:pPr>
      <w:r>
        <w:rPr>
          <w:rStyle w:val="s1"/>
        </w:rPr>
        <w:t>indicará cita en consulta de Medicina Interna si lo precisa para completar estudio o</w:t>
      </w:r>
    </w:p>
    <w:p w14:paraId="721DB9DA" w14:textId="77777777" w:rsidR="007A595B" w:rsidRDefault="007A595B">
      <w:pPr>
        <w:pStyle w:val="p1"/>
      </w:pPr>
      <w:r>
        <w:rPr>
          <w:rStyle w:val="s1"/>
        </w:rPr>
        <w:t>según resultados de estudio de coagulación. Igualmente, se le indicará si debe</w:t>
      </w:r>
    </w:p>
    <w:p w14:paraId="796FCA71" w14:textId="77777777" w:rsidR="007A595B" w:rsidRDefault="007A595B">
      <w:pPr>
        <w:pStyle w:val="p1"/>
      </w:pPr>
      <w:r>
        <w:rPr>
          <w:rStyle w:val="s1"/>
        </w:rPr>
        <w:t xml:space="preserve">mantener el </w:t>
      </w:r>
      <w:proofErr w:type="spellStart"/>
      <w:r>
        <w:rPr>
          <w:rStyle w:val="s1"/>
        </w:rPr>
        <w:t>acenocumarol</w:t>
      </w:r>
      <w:proofErr w:type="spellEnd"/>
      <w:r>
        <w:rPr>
          <w:rStyle w:val="s1"/>
        </w:rPr>
        <w:t xml:space="preserve"> como tratamiento de continuidad u otro anticoagulante</w:t>
      </w:r>
    </w:p>
    <w:p w14:paraId="50B6409E" w14:textId="77777777" w:rsidR="007A595B" w:rsidRDefault="007A595B">
      <w:pPr>
        <w:pStyle w:val="p1"/>
        <w:rPr>
          <w:rStyle w:val="s1"/>
        </w:rPr>
      </w:pPr>
      <w:r>
        <w:rPr>
          <w:rStyle w:val="s1"/>
        </w:rPr>
        <w:t>oral y la forma de seguimiento ambulante para controles, si lo precisa</w:t>
      </w:r>
    </w:p>
    <w:p w14:paraId="5145D48E" w14:textId="77777777" w:rsidR="001C6A7A" w:rsidRDefault="001C6A7A">
      <w:pPr>
        <w:pStyle w:val="p1"/>
      </w:pPr>
    </w:p>
    <w:p w14:paraId="7AD9D911" w14:textId="77777777" w:rsidR="007A595B" w:rsidRPr="001C6A7A" w:rsidRDefault="007A595B">
      <w:pPr>
        <w:pStyle w:val="p1"/>
        <w:rPr>
          <w:b/>
          <w:bCs/>
        </w:rPr>
      </w:pPr>
      <w:r w:rsidRPr="001C6A7A">
        <w:rPr>
          <w:rStyle w:val="s1"/>
          <w:b/>
          <w:bCs/>
        </w:rPr>
        <w:t xml:space="preserve">Plantilla para indicación de profilaxis al alta para pacientes </w:t>
      </w:r>
      <w:proofErr w:type="spellStart"/>
      <w:r w:rsidRPr="001C6A7A">
        <w:rPr>
          <w:rStyle w:val="s1"/>
          <w:b/>
          <w:bCs/>
        </w:rPr>
        <w:t>postquirúrgicos</w:t>
      </w:r>
      <w:proofErr w:type="spellEnd"/>
      <w:r w:rsidRPr="001C6A7A">
        <w:rPr>
          <w:rStyle w:val="s1"/>
          <w:b/>
          <w:bCs/>
        </w:rPr>
        <w:t xml:space="preserve"> o con</w:t>
      </w:r>
    </w:p>
    <w:p w14:paraId="1269620E" w14:textId="77777777" w:rsidR="007A595B" w:rsidRDefault="007A595B">
      <w:pPr>
        <w:pStyle w:val="p1"/>
        <w:rPr>
          <w:rStyle w:val="s1"/>
        </w:rPr>
      </w:pPr>
      <w:r w:rsidRPr="001C6A7A">
        <w:rPr>
          <w:rStyle w:val="s1"/>
          <w:b/>
          <w:bCs/>
        </w:rPr>
        <w:t>riesgo de ETEV por inmovilización de MMII o MMSS u orden de reposo absoluto</w:t>
      </w:r>
      <w:r>
        <w:rPr>
          <w:rStyle w:val="s1"/>
        </w:rPr>
        <w:t>.</w:t>
      </w:r>
    </w:p>
    <w:p w14:paraId="108FBA79" w14:textId="77777777" w:rsidR="001C6A7A" w:rsidRDefault="001C6A7A">
      <w:pPr>
        <w:pStyle w:val="p1"/>
      </w:pPr>
    </w:p>
    <w:p w14:paraId="6FE376BE" w14:textId="77777777" w:rsidR="007A595B" w:rsidRDefault="007A595B">
      <w:pPr>
        <w:pStyle w:val="p1"/>
      </w:pPr>
      <w:r>
        <w:rPr>
          <w:rStyle w:val="s1"/>
        </w:rPr>
        <w:t>•</w:t>
      </w:r>
      <w:r>
        <w:rPr>
          <w:rStyle w:val="s2"/>
        </w:rPr>
        <w:t xml:space="preserve"> </w:t>
      </w:r>
      <w:r>
        <w:rPr>
          <w:rStyle w:val="s1"/>
        </w:rPr>
        <w:t>HIBOR, 1 INYECCIÓN SUBCUTÁNEA AL DÍA.</w:t>
      </w:r>
    </w:p>
    <w:p w14:paraId="6608431B" w14:textId="77777777" w:rsidR="005A3DF9" w:rsidRDefault="005A3DF9">
      <w:pPr>
        <w:pStyle w:val="p1"/>
        <w:rPr>
          <w:rStyle w:val="s1"/>
        </w:rPr>
      </w:pPr>
    </w:p>
    <w:p w14:paraId="29CC6958" w14:textId="77777777" w:rsidR="005A3DF9" w:rsidRDefault="005A3DF9">
      <w:pPr>
        <w:pStyle w:val="p1"/>
        <w:rPr>
          <w:rStyle w:val="s1"/>
        </w:rPr>
      </w:pPr>
    </w:p>
    <w:p w14:paraId="044F580E" w14:textId="66035B24" w:rsidR="007A595B" w:rsidRDefault="007A595B">
      <w:pPr>
        <w:pStyle w:val="p1"/>
      </w:pPr>
      <w:r>
        <w:rPr>
          <w:rStyle w:val="s1"/>
        </w:rPr>
        <w:t>En función del riesgo, se indicará:</w:t>
      </w:r>
    </w:p>
    <w:p w14:paraId="72F1BC51" w14:textId="77777777" w:rsidR="007A595B" w:rsidRDefault="007A595B">
      <w:pPr>
        <w:pStyle w:val="p1"/>
      </w:pPr>
      <w:r>
        <w:rPr>
          <w:rStyle w:val="s3"/>
        </w:rPr>
        <w:t>o</w:t>
      </w:r>
      <w:r>
        <w:rPr>
          <w:rStyle w:val="s2"/>
        </w:rPr>
        <w:t xml:space="preserve"> </w:t>
      </w:r>
      <w:r>
        <w:rPr>
          <w:rStyle w:val="s1"/>
        </w:rPr>
        <w:t>Riesgo moderado o cirugía no ortopédica de riesgo moderado, 2500UI/día</w:t>
      </w:r>
    </w:p>
    <w:p w14:paraId="3ED26836" w14:textId="77777777" w:rsidR="007A595B" w:rsidRDefault="007A595B">
      <w:pPr>
        <w:pStyle w:val="p1"/>
      </w:pPr>
      <w:r>
        <w:rPr>
          <w:rStyle w:val="s3"/>
        </w:rPr>
        <w:t>o</w:t>
      </w:r>
      <w:r>
        <w:rPr>
          <w:rStyle w:val="s2"/>
        </w:rPr>
        <w:t xml:space="preserve"> </w:t>
      </w:r>
      <w:r>
        <w:rPr>
          <w:rStyle w:val="s1"/>
        </w:rPr>
        <w:t>Riesgo elevado o cirugía ortopédica o General de alto riesgo 3500UI/día (si</w:t>
      </w:r>
    </w:p>
    <w:p w14:paraId="28F4B1F7" w14:textId="77777777" w:rsidR="007A595B" w:rsidRDefault="007A595B">
      <w:pPr>
        <w:pStyle w:val="p1"/>
      </w:pPr>
      <w:r>
        <w:rPr>
          <w:rStyle w:val="s1"/>
        </w:rPr>
        <w:t>IR Grave, con ClCr &lt;30, reducir a 2500UI/día)</w:t>
      </w:r>
    </w:p>
    <w:p w14:paraId="2E50D040" w14:textId="77777777" w:rsidR="007A595B" w:rsidRDefault="007A595B"/>
    <w:sectPr w:rsidR="007A59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95B"/>
    <w:rsid w:val="001C6A7A"/>
    <w:rsid w:val="005A3DF9"/>
    <w:rsid w:val="007A595B"/>
    <w:rsid w:val="009E4CD3"/>
    <w:rsid w:val="00E262D7"/>
    <w:rsid w:val="00EB5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380062"/>
  <w15:chartTrackingRefBased/>
  <w15:docId w15:val="{4F490849-A10F-F74D-926E-1AD717A8D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A59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A59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A59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A59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A59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A59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A59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A59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A59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A59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A59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A59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A595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A595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A595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A595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A595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A595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A59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A59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A59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A59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A59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A595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A595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A595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A59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A595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A595B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7A595B"/>
    <w:pPr>
      <w:spacing w:after="0" w:line="240" w:lineRule="auto"/>
    </w:pPr>
    <w:rPr>
      <w:rFonts w:ascii="Helvetica" w:hAnsi="Helvetica" w:cs="Times New Roman"/>
      <w:color w:val="000000"/>
      <w:kern w:val="0"/>
      <w:sz w:val="17"/>
      <w:szCs w:val="17"/>
      <w14:ligatures w14:val="none"/>
    </w:rPr>
  </w:style>
  <w:style w:type="character" w:customStyle="1" w:styleId="s1">
    <w:name w:val="s1"/>
    <w:basedOn w:val="Fuentedeprrafopredeter"/>
    <w:rsid w:val="007A595B"/>
    <w:rPr>
      <w:rFonts w:ascii="Helvetica" w:hAnsi="Helvetica" w:hint="default"/>
      <w:b w:val="0"/>
      <w:bCs w:val="0"/>
      <w:i w:val="0"/>
      <w:iCs w:val="0"/>
      <w:sz w:val="17"/>
      <w:szCs w:val="17"/>
    </w:rPr>
  </w:style>
  <w:style w:type="character" w:customStyle="1" w:styleId="s2">
    <w:name w:val="s2"/>
    <w:basedOn w:val="Fuentedeprrafopredeter"/>
    <w:rsid w:val="007A595B"/>
    <w:rPr>
      <w:rFonts w:ascii="Arial" w:hAnsi="Arial" w:cs="Arial" w:hint="default"/>
      <w:b w:val="0"/>
      <w:bCs w:val="0"/>
      <w:i w:val="0"/>
      <w:iCs w:val="0"/>
      <w:sz w:val="17"/>
      <w:szCs w:val="17"/>
    </w:rPr>
  </w:style>
  <w:style w:type="character" w:customStyle="1" w:styleId="s3">
    <w:name w:val="s3"/>
    <w:basedOn w:val="Fuentedeprrafopredeter"/>
    <w:rsid w:val="007A595B"/>
    <w:rPr>
      <w:rFonts w:ascii="Courier New" w:hAnsi="Courier New" w:cs="Courier New" w:hint="default"/>
      <w:b w:val="0"/>
      <w:bCs w:val="0"/>
      <w:i w:val="0"/>
      <w:iCs w:val="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Damián  Abril-San Juan Hevia</dc:creator>
  <cp:keywords/>
  <dc:description/>
  <cp:lastModifiedBy>Damián  Abril-San Juan Hevia</cp:lastModifiedBy>
  <cp:revision>2</cp:revision>
  <dcterms:created xsi:type="dcterms:W3CDTF">2026-03-20T08:19:00Z</dcterms:created>
  <dcterms:modified xsi:type="dcterms:W3CDTF">2026-03-20T08:19:00Z</dcterms:modified>
</cp:coreProperties>
</file>